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523" w:rsidRDefault="00BE6523">
      <w:pPr>
        <w:rPr>
          <w:noProof/>
          <w:lang w:eastAsia="pt-PT"/>
        </w:rPr>
      </w:pPr>
      <w:bookmarkStart w:id="0" w:name="_GoBack"/>
      <w:bookmarkEnd w:id="0"/>
    </w:p>
    <w:p w:rsidR="00BE6523" w:rsidRDefault="00BE6523">
      <w:pPr>
        <w:rPr>
          <w:b/>
          <w:noProof/>
          <w:lang w:eastAsia="pt-PT"/>
        </w:rPr>
      </w:pPr>
      <w:r w:rsidRPr="00BE6523">
        <w:rPr>
          <w:b/>
          <w:noProof/>
          <w:lang w:eastAsia="pt-PT"/>
        </w:rPr>
        <w:t>ANEXO II</w:t>
      </w:r>
    </w:p>
    <w:p w:rsidR="00BE6523" w:rsidRPr="00BE6523" w:rsidRDefault="00BE6523">
      <w:pPr>
        <w:rPr>
          <w:b/>
          <w:noProof/>
          <w:lang w:eastAsia="pt-PT"/>
        </w:rPr>
      </w:pPr>
      <w:r>
        <w:rPr>
          <w:b/>
          <w:noProof/>
          <w:lang w:eastAsia="pt-PT"/>
        </w:rPr>
        <w:t>Requisitos Técnicos</w:t>
      </w:r>
    </w:p>
    <w:p w:rsidR="00BE6523" w:rsidRDefault="00BE6523">
      <w:pPr>
        <w:rPr>
          <w:noProof/>
          <w:lang w:eastAsia="pt-PT"/>
        </w:rPr>
      </w:pPr>
    </w:p>
    <w:p w:rsidR="005F4590" w:rsidRDefault="005F4590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809"/>
        <w:gridCol w:w="5670"/>
        <w:gridCol w:w="1687"/>
      </w:tblGrid>
      <w:tr w:rsidR="005F4590" w:rsidRPr="005F4590" w:rsidTr="005E05C4">
        <w:trPr>
          <w:trHeight w:val="422"/>
        </w:trPr>
        <w:tc>
          <w:tcPr>
            <w:tcW w:w="9166" w:type="dxa"/>
            <w:gridSpan w:val="3"/>
            <w:shd w:val="clear" w:color="auto" w:fill="E5B8B7" w:themeFill="accent2" w:themeFillTint="66"/>
            <w:vAlign w:val="center"/>
          </w:tcPr>
          <w:p w:rsidR="005F4590" w:rsidRPr="005F4590" w:rsidRDefault="005F4590" w:rsidP="005E05C4">
            <w:pPr>
              <w:jc w:val="center"/>
              <w:rPr>
                <w:sz w:val="18"/>
                <w:szCs w:val="18"/>
              </w:rPr>
            </w:pPr>
            <w:r w:rsidRPr="005F4590">
              <w:rPr>
                <w:sz w:val="18"/>
                <w:szCs w:val="18"/>
              </w:rPr>
              <w:t>Especificações Técnicas</w:t>
            </w:r>
          </w:p>
        </w:tc>
      </w:tr>
      <w:tr w:rsidR="005F4590" w:rsidRPr="005F4590" w:rsidTr="005E05C4">
        <w:tc>
          <w:tcPr>
            <w:tcW w:w="1809" w:type="dxa"/>
            <w:vMerge w:val="restart"/>
            <w:shd w:val="clear" w:color="auto" w:fill="F2DBDB" w:themeFill="accent2" w:themeFillTint="33"/>
            <w:vAlign w:val="center"/>
          </w:tcPr>
          <w:p w:rsidR="005F4590" w:rsidRPr="005F4590" w:rsidRDefault="005F4590">
            <w:pPr>
              <w:rPr>
                <w:sz w:val="18"/>
                <w:szCs w:val="18"/>
              </w:rPr>
            </w:pPr>
            <w:r w:rsidRPr="005F4590">
              <w:rPr>
                <w:sz w:val="18"/>
                <w:szCs w:val="18"/>
              </w:rPr>
              <w:t>Estruturais</w:t>
            </w:r>
          </w:p>
        </w:tc>
        <w:tc>
          <w:tcPr>
            <w:tcW w:w="5670" w:type="dxa"/>
          </w:tcPr>
          <w:p w:rsidR="005F4590" w:rsidRPr="005F4590" w:rsidRDefault="005F4590">
            <w:pPr>
              <w:rPr>
                <w:sz w:val="18"/>
                <w:szCs w:val="18"/>
              </w:rPr>
            </w:pPr>
            <w:r w:rsidRPr="005F4590">
              <w:rPr>
                <w:sz w:val="18"/>
                <w:szCs w:val="18"/>
              </w:rPr>
              <w:t>Gramagem (g/m2) – 75 a 80 + 4%</w:t>
            </w:r>
          </w:p>
        </w:tc>
        <w:tc>
          <w:tcPr>
            <w:tcW w:w="1687" w:type="dxa"/>
          </w:tcPr>
          <w:p w:rsidR="005F4590" w:rsidRPr="005F4590" w:rsidRDefault="005F4590">
            <w:pPr>
              <w:rPr>
                <w:sz w:val="18"/>
                <w:szCs w:val="18"/>
              </w:rPr>
            </w:pPr>
            <w:r w:rsidRPr="005F4590">
              <w:rPr>
                <w:sz w:val="18"/>
                <w:szCs w:val="18"/>
              </w:rPr>
              <w:t>NP EN ISO 536</w:t>
            </w:r>
          </w:p>
        </w:tc>
      </w:tr>
      <w:tr w:rsidR="005F4590" w:rsidRPr="005F4590" w:rsidTr="005E05C4">
        <w:tc>
          <w:tcPr>
            <w:tcW w:w="1809" w:type="dxa"/>
            <w:vMerge/>
            <w:shd w:val="clear" w:color="auto" w:fill="F2DBDB" w:themeFill="accent2" w:themeFillTint="33"/>
          </w:tcPr>
          <w:p w:rsidR="005F4590" w:rsidRPr="005F4590" w:rsidRDefault="005F459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5F4590" w:rsidRPr="005F4590" w:rsidRDefault="005F4590">
            <w:pPr>
              <w:rPr>
                <w:sz w:val="18"/>
                <w:szCs w:val="18"/>
              </w:rPr>
            </w:pPr>
            <w:r w:rsidRPr="005F4590">
              <w:rPr>
                <w:sz w:val="18"/>
                <w:szCs w:val="18"/>
              </w:rPr>
              <w:t>Índice de Mão (cm3/g) – 1,2 a 1,4</w:t>
            </w:r>
          </w:p>
        </w:tc>
        <w:tc>
          <w:tcPr>
            <w:tcW w:w="1687" w:type="dxa"/>
          </w:tcPr>
          <w:p w:rsidR="005F4590" w:rsidRPr="005F4590" w:rsidRDefault="005F4590">
            <w:pPr>
              <w:rPr>
                <w:sz w:val="18"/>
                <w:szCs w:val="18"/>
              </w:rPr>
            </w:pPr>
            <w:r w:rsidRPr="005F4590">
              <w:rPr>
                <w:sz w:val="18"/>
                <w:szCs w:val="18"/>
              </w:rPr>
              <w:t>NP EN 20534</w:t>
            </w:r>
          </w:p>
        </w:tc>
      </w:tr>
      <w:tr w:rsidR="005F4590" w:rsidRPr="005F4590" w:rsidTr="005E05C4">
        <w:tc>
          <w:tcPr>
            <w:tcW w:w="1809" w:type="dxa"/>
            <w:vMerge w:val="restart"/>
            <w:shd w:val="clear" w:color="auto" w:fill="F2DBDB" w:themeFill="accent2" w:themeFillTint="33"/>
            <w:vAlign w:val="center"/>
          </w:tcPr>
          <w:p w:rsidR="005F4590" w:rsidRPr="005F4590" w:rsidRDefault="005F4590">
            <w:pPr>
              <w:rPr>
                <w:sz w:val="18"/>
                <w:szCs w:val="18"/>
              </w:rPr>
            </w:pPr>
            <w:r w:rsidRPr="005F4590">
              <w:rPr>
                <w:sz w:val="18"/>
                <w:szCs w:val="18"/>
              </w:rPr>
              <w:t>Físicas, Químicas e Mecânicas</w:t>
            </w:r>
          </w:p>
        </w:tc>
        <w:tc>
          <w:tcPr>
            <w:tcW w:w="5670" w:type="dxa"/>
          </w:tcPr>
          <w:p w:rsidR="005F4590" w:rsidRPr="005F4590" w:rsidRDefault="005F4590">
            <w:pPr>
              <w:rPr>
                <w:sz w:val="18"/>
                <w:szCs w:val="18"/>
              </w:rPr>
            </w:pPr>
            <w:r w:rsidRPr="005F4590">
              <w:rPr>
                <w:sz w:val="18"/>
                <w:szCs w:val="18"/>
              </w:rPr>
              <w:t>Humidade – 4,7%, +1%</w:t>
            </w:r>
          </w:p>
        </w:tc>
        <w:tc>
          <w:tcPr>
            <w:tcW w:w="1687" w:type="dxa"/>
          </w:tcPr>
          <w:p w:rsidR="005F4590" w:rsidRPr="005F4590" w:rsidRDefault="005F4590" w:rsidP="005F4590">
            <w:pPr>
              <w:rPr>
                <w:sz w:val="18"/>
                <w:szCs w:val="18"/>
              </w:rPr>
            </w:pPr>
            <w:r w:rsidRPr="005F4590">
              <w:rPr>
                <w:sz w:val="18"/>
                <w:szCs w:val="18"/>
              </w:rPr>
              <w:t>NP EN 20287</w:t>
            </w:r>
          </w:p>
        </w:tc>
      </w:tr>
      <w:tr w:rsidR="005F4590" w:rsidRPr="005F4590" w:rsidTr="005E05C4">
        <w:tc>
          <w:tcPr>
            <w:tcW w:w="1809" w:type="dxa"/>
            <w:vMerge/>
            <w:shd w:val="clear" w:color="auto" w:fill="F2DBDB" w:themeFill="accent2" w:themeFillTint="33"/>
          </w:tcPr>
          <w:p w:rsidR="005F4590" w:rsidRPr="005F4590" w:rsidRDefault="005F459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5F4590" w:rsidRPr="005F4590" w:rsidRDefault="005F4590" w:rsidP="005F4590">
            <w:pPr>
              <w:rPr>
                <w:sz w:val="18"/>
                <w:szCs w:val="18"/>
              </w:rPr>
            </w:pPr>
            <w:r w:rsidRPr="005F4590">
              <w:rPr>
                <w:sz w:val="18"/>
                <w:szCs w:val="18"/>
              </w:rPr>
              <w:t>Rugosidade (</w:t>
            </w:r>
            <w:proofErr w:type="spellStart"/>
            <w:r w:rsidRPr="005F4590">
              <w:rPr>
                <w:sz w:val="18"/>
                <w:szCs w:val="18"/>
              </w:rPr>
              <w:t>Bendtsen</w:t>
            </w:r>
            <w:proofErr w:type="spellEnd"/>
            <w:r w:rsidRPr="005F4590">
              <w:rPr>
                <w:sz w:val="18"/>
                <w:szCs w:val="18"/>
              </w:rPr>
              <w:t>) (ml/min) – 300 (máximo)</w:t>
            </w:r>
          </w:p>
        </w:tc>
        <w:tc>
          <w:tcPr>
            <w:tcW w:w="1687" w:type="dxa"/>
          </w:tcPr>
          <w:p w:rsidR="005F4590" w:rsidRPr="005F4590" w:rsidRDefault="005F4590" w:rsidP="005F4590">
            <w:pPr>
              <w:rPr>
                <w:sz w:val="18"/>
                <w:szCs w:val="18"/>
              </w:rPr>
            </w:pPr>
            <w:r w:rsidRPr="005F4590">
              <w:rPr>
                <w:sz w:val="18"/>
                <w:szCs w:val="18"/>
              </w:rPr>
              <w:t>NP EN ISO 8791/2</w:t>
            </w:r>
          </w:p>
        </w:tc>
      </w:tr>
      <w:tr w:rsidR="005F4590" w:rsidRPr="005F4590" w:rsidTr="005E05C4">
        <w:tc>
          <w:tcPr>
            <w:tcW w:w="1809" w:type="dxa"/>
            <w:vMerge w:val="restart"/>
            <w:shd w:val="clear" w:color="auto" w:fill="F2DBDB" w:themeFill="accent2" w:themeFillTint="33"/>
            <w:vAlign w:val="center"/>
          </w:tcPr>
          <w:p w:rsidR="005F4590" w:rsidRPr="005F4590" w:rsidRDefault="005F45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Óticas</w:t>
            </w:r>
          </w:p>
        </w:tc>
        <w:tc>
          <w:tcPr>
            <w:tcW w:w="5670" w:type="dxa"/>
          </w:tcPr>
          <w:p w:rsidR="005F4590" w:rsidRPr="005F4590" w:rsidRDefault="005F45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Brancura – 76% (mínimo)</w:t>
            </w:r>
          </w:p>
        </w:tc>
        <w:tc>
          <w:tcPr>
            <w:tcW w:w="1687" w:type="dxa"/>
          </w:tcPr>
          <w:p w:rsidR="005F4590" w:rsidRPr="005F4590" w:rsidRDefault="005F45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NP EN ISO 2470</w:t>
            </w:r>
          </w:p>
        </w:tc>
      </w:tr>
      <w:tr w:rsidR="005F4590" w:rsidRPr="005F4590" w:rsidTr="005E05C4">
        <w:tc>
          <w:tcPr>
            <w:tcW w:w="1809" w:type="dxa"/>
            <w:vMerge/>
            <w:shd w:val="clear" w:color="auto" w:fill="F2DBDB" w:themeFill="accent2" w:themeFillTint="33"/>
          </w:tcPr>
          <w:p w:rsidR="005F4590" w:rsidRPr="005F4590" w:rsidRDefault="005F459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5F4590" w:rsidRPr="005F4590" w:rsidRDefault="005F45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Opacidade – 80% (mínimo)</w:t>
            </w:r>
          </w:p>
        </w:tc>
        <w:tc>
          <w:tcPr>
            <w:tcW w:w="1687" w:type="dxa"/>
          </w:tcPr>
          <w:p w:rsidR="005F4590" w:rsidRPr="005F4590" w:rsidRDefault="005F4590">
            <w:pPr>
              <w:rPr>
                <w:sz w:val="18"/>
                <w:szCs w:val="18"/>
              </w:rPr>
            </w:pPr>
            <w:r w:rsidRPr="005F4590">
              <w:rPr>
                <w:sz w:val="18"/>
                <w:szCs w:val="18"/>
              </w:rPr>
              <w:t xml:space="preserve">NP EN </w:t>
            </w:r>
            <w:r>
              <w:rPr>
                <w:sz w:val="18"/>
                <w:szCs w:val="18"/>
              </w:rPr>
              <w:t>ISO 2471</w:t>
            </w:r>
          </w:p>
        </w:tc>
      </w:tr>
      <w:tr w:rsidR="005F4590" w:rsidRPr="005F4590" w:rsidTr="005E05C4">
        <w:tc>
          <w:tcPr>
            <w:tcW w:w="1809" w:type="dxa"/>
            <w:vMerge/>
            <w:shd w:val="clear" w:color="auto" w:fill="F2DBDB" w:themeFill="accent2" w:themeFillTint="33"/>
          </w:tcPr>
          <w:p w:rsidR="005F4590" w:rsidRPr="005F4590" w:rsidRDefault="005F459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5F4590" w:rsidRPr="005F4590" w:rsidRDefault="005F45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Fluorescência – Deve ser nula</w:t>
            </w:r>
          </w:p>
        </w:tc>
        <w:tc>
          <w:tcPr>
            <w:tcW w:w="1687" w:type="dxa"/>
          </w:tcPr>
          <w:p w:rsidR="005F4590" w:rsidRPr="005F4590" w:rsidRDefault="005F4590">
            <w:pPr>
              <w:rPr>
                <w:sz w:val="18"/>
                <w:szCs w:val="18"/>
              </w:rPr>
            </w:pPr>
          </w:p>
        </w:tc>
      </w:tr>
      <w:tr w:rsidR="005F4590" w:rsidRPr="005F4590" w:rsidTr="005E05C4">
        <w:tc>
          <w:tcPr>
            <w:tcW w:w="1809" w:type="dxa"/>
            <w:shd w:val="clear" w:color="auto" w:fill="F2DBDB" w:themeFill="accent2" w:themeFillTint="33"/>
          </w:tcPr>
          <w:p w:rsidR="005F4590" w:rsidRPr="005F4590" w:rsidRDefault="005F45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Ambientais</w:t>
            </w:r>
          </w:p>
        </w:tc>
        <w:tc>
          <w:tcPr>
            <w:tcW w:w="5670" w:type="dxa"/>
          </w:tcPr>
          <w:p w:rsidR="005F4590" w:rsidRDefault="005F45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 papel proposto deve ser TFC (Totalmente livre de cloro) ou ECF (Livre de Cloro Elementar)</w:t>
            </w:r>
          </w:p>
        </w:tc>
        <w:tc>
          <w:tcPr>
            <w:tcW w:w="1687" w:type="dxa"/>
          </w:tcPr>
          <w:p w:rsidR="005F4590" w:rsidRPr="005F4590" w:rsidRDefault="005F4590">
            <w:pPr>
              <w:rPr>
                <w:sz w:val="18"/>
                <w:szCs w:val="18"/>
              </w:rPr>
            </w:pPr>
          </w:p>
        </w:tc>
      </w:tr>
    </w:tbl>
    <w:p w:rsidR="00EB58CF" w:rsidRDefault="00EB58CF"/>
    <w:sectPr w:rsidR="00EB58CF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FCA" w:rsidRDefault="00C91FCA" w:rsidP="004C3CAF">
      <w:pPr>
        <w:spacing w:after="0" w:line="240" w:lineRule="auto"/>
      </w:pPr>
      <w:r>
        <w:separator/>
      </w:r>
    </w:p>
  </w:endnote>
  <w:endnote w:type="continuationSeparator" w:id="0">
    <w:p w:rsidR="00C91FCA" w:rsidRDefault="00C91FCA" w:rsidP="004C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FCA" w:rsidRDefault="00C91FCA" w:rsidP="004C3CAF">
      <w:pPr>
        <w:spacing w:after="0" w:line="240" w:lineRule="auto"/>
      </w:pPr>
      <w:r>
        <w:separator/>
      </w:r>
    </w:p>
  </w:footnote>
  <w:footnote w:type="continuationSeparator" w:id="0">
    <w:p w:rsidR="00C91FCA" w:rsidRDefault="00C91FCA" w:rsidP="004C3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CAF" w:rsidRDefault="004C3CAF">
    <w:pPr>
      <w:pStyle w:val="Cabealho"/>
    </w:pPr>
    <w:r>
      <w:rPr>
        <w:noProof/>
        <w:color w:val="0000FF"/>
      </w:rPr>
      <w:drawing>
        <wp:anchor distT="0" distB="0" distL="114300" distR="114300" simplePos="0" relativeHeight="251659264" behindDoc="0" locked="0" layoutInCell="1" allowOverlap="1" wp14:anchorId="5919ABE0" wp14:editId="48E394A1">
          <wp:simplePos x="0" y="0"/>
          <wp:positionH relativeFrom="margin">
            <wp:posOffset>4819650</wp:posOffset>
          </wp:positionH>
          <wp:positionV relativeFrom="paragraph">
            <wp:posOffset>-285750</wp:posOffset>
          </wp:positionV>
          <wp:extent cx="904875" cy="565785"/>
          <wp:effectExtent l="0" t="0" r="9525" b="5715"/>
          <wp:wrapThrough wrapText="bothSides">
            <wp:wrapPolygon edited="0">
              <wp:start x="0" y="0"/>
              <wp:lineTo x="0" y="21091"/>
              <wp:lineTo x="21373" y="21091"/>
              <wp:lineTo x="21373" y="0"/>
              <wp:lineTo x="0" y="0"/>
            </wp:wrapPolygon>
          </wp:wrapThrough>
          <wp:docPr id="15" name="Imagem 15" descr="Resultado de imagem para cim viseu dão lafõ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Resultado de imagem para cim viseu dão lafões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56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FF"/>
      </w:rPr>
      <w:drawing>
        <wp:anchor distT="0" distB="0" distL="114300" distR="114300" simplePos="0" relativeHeight="251658240" behindDoc="0" locked="0" layoutInCell="1" allowOverlap="1" wp14:anchorId="173ADBE3" wp14:editId="4812484A">
          <wp:simplePos x="0" y="0"/>
          <wp:positionH relativeFrom="margin">
            <wp:posOffset>-114300</wp:posOffset>
          </wp:positionH>
          <wp:positionV relativeFrom="paragraph">
            <wp:posOffset>-276225</wp:posOffset>
          </wp:positionV>
          <wp:extent cx="1638300" cy="531495"/>
          <wp:effectExtent l="0" t="0" r="0" b="0"/>
          <wp:wrapThrough wrapText="bothSides">
            <wp:wrapPolygon edited="0">
              <wp:start x="753" y="774"/>
              <wp:lineTo x="0" y="8516"/>
              <wp:lineTo x="0" y="15484"/>
              <wp:lineTo x="753" y="20129"/>
              <wp:lineTo x="5023" y="20129"/>
              <wp:lineTo x="11553" y="18581"/>
              <wp:lineTo x="15321" y="17032"/>
              <wp:lineTo x="17330" y="13161"/>
              <wp:lineTo x="16326" y="3871"/>
              <wp:lineTo x="5023" y="774"/>
              <wp:lineTo x="753" y="774"/>
            </wp:wrapPolygon>
          </wp:wrapThrough>
          <wp:docPr id="14" name="Imagem 14" descr="http://centraldecompras.cimvdl.pt/images/cim/logo.png">
            <a:hlinkClick xmlns:a="http://schemas.openxmlformats.org/drawingml/2006/main" r:id="rId4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centraldecompras.cimvdl.pt/images/cim/logo.png">
                    <a:hlinkClick r:id="rId4"/>
                  </pic:cNvPr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C3CAF" w:rsidRDefault="004C3CA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23"/>
    <w:rsid w:val="004C3CAF"/>
    <w:rsid w:val="005E05C4"/>
    <w:rsid w:val="005F4590"/>
    <w:rsid w:val="00BE6523"/>
    <w:rsid w:val="00C769E9"/>
    <w:rsid w:val="00C91FCA"/>
    <w:rsid w:val="00EB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21524C-DCB3-44AF-92DB-4CCF5BF3C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BE6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E6523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5F4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4C3C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C3CAF"/>
  </w:style>
  <w:style w:type="paragraph" w:styleId="Rodap">
    <w:name w:val="footer"/>
    <w:basedOn w:val="Normal"/>
    <w:link w:val="RodapCarter"/>
    <w:uiPriority w:val="99"/>
    <w:unhideWhenUsed/>
    <w:rsid w:val="004C3C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C3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gazetarural.com/wp-content/uploads/2017/03/CIM-Viseu-D%C3%A3o-Laf%C3%B5es.jpg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www.google.pt/url?sa=i&amp;rct=j&amp;q=&amp;esrc=s&amp;source=images&amp;cd=&amp;cad=rja&amp;uact=8&amp;ved=0ahUKEwiSiq7WtdLYAhXFxRQKHbLaDYoQjRwIBw&amp;url=http://gazetarural.com/2017/03/14/viseu-dao-lafoes-promove-eventos-cultura-patrimonio-e-produtos-da-regiao-na-maior-feira-de-turismo-do-pais/&amp;psig=AOvVaw2_Ml8r5y6ZibfoyZR7yIai&amp;ust=1515846294213673" TargetMode="External"/><Relationship Id="rId5" Type="http://schemas.openxmlformats.org/officeDocument/2006/relationships/image" Target="media/image2.png"/><Relationship Id="rId4" Type="http://schemas.openxmlformats.org/officeDocument/2006/relationships/hyperlink" Target="http://centraldecompras.cimvdl.pt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81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Monteiro</dc:creator>
  <cp:lastModifiedBy>Tiago M</cp:lastModifiedBy>
  <cp:revision>3</cp:revision>
  <dcterms:created xsi:type="dcterms:W3CDTF">2012-02-02T16:12:00Z</dcterms:created>
  <dcterms:modified xsi:type="dcterms:W3CDTF">2018-01-15T11:38:00Z</dcterms:modified>
</cp:coreProperties>
</file>